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4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Anniskeluliike Portti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16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18.15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>/9</w:t>
        <w:tab/>
        <w:t>Aapo Knuutila</w:t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ab/>
        <w:t xml:space="preserve">Saapui kohdassa 5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Ilmoitusasiat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>kello 18.31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18.19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8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Kopo-asiat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LuK-suunnitelupalaveri 9.2.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rtl w:val="0"/>
        </w:rPr>
        <w:t>Lis</w:t>
      </w:r>
      <w:r>
        <w:rPr>
          <w:rtl w:val="0"/>
        </w:rPr>
        <w:t>ä</w:t>
      </w:r>
      <w:r>
        <w:rPr>
          <w:rtl w:val="0"/>
        </w:rPr>
        <w:t xml:space="preserve">ttiin kohtaan 8 </w:t>
      </w:r>
      <w:r>
        <w:rPr>
          <w:rtl w:val="0"/>
        </w:rPr>
        <w:t>”</w:t>
      </w:r>
      <w:r>
        <w:rPr>
          <w:rtl w:val="0"/>
        </w:rPr>
        <w:t>Kopo-asiat</w:t>
      </w:r>
      <w:r>
        <w:rPr>
          <w:rtl w:val="0"/>
        </w:rPr>
        <w:t xml:space="preserve">” </w:t>
      </w:r>
      <w:r>
        <w:rPr>
          <w:rtl w:val="0"/>
        </w:rPr>
        <w:t>kohta</w:t>
      </w:r>
      <w:r>
        <w:rPr>
          <w:rtl w:val="0"/>
        </w:rPr>
        <w:t xml:space="preserve"> </w:t>
      </w:r>
      <w:r>
        <w:rPr>
          <w:rtl w:val="0"/>
        </w:rPr>
        <w:t>”</w:t>
      </w:r>
      <w:r>
        <w:rPr>
          <w:color w:val="000000"/>
          <w:u w:color="000000"/>
          <w:rtl w:val="0"/>
        </w:rPr>
        <w:t>TkK-suunnittelupalveri 16.2.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rtl w:val="0"/>
        </w:rPr>
        <w:t>Lis</w:t>
      </w:r>
      <w:r>
        <w:rPr>
          <w:rtl w:val="0"/>
        </w:rPr>
        <w:t>ä</w:t>
      </w:r>
      <w:r>
        <w:rPr>
          <w:rtl w:val="0"/>
        </w:rPr>
        <w:t xml:space="preserve">ttiin kohtaan 8 </w:t>
      </w:r>
      <w:r>
        <w:rPr>
          <w:rtl w:val="0"/>
        </w:rPr>
        <w:t>”</w:t>
      </w:r>
      <w:r>
        <w:rPr>
          <w:rtl w:val="0"/>
        </w:rPr>
        <w:t>Kopo-asiat</w:t>
      </w:r>
      <w:r>
        <w:rPr>
          <w:rtl w:val="0"/>
        </w:rPr>
        <w:t xml:space="preserve">” </w:t>
      </w:r>
      <w:r>
        <w:rPr>
          <w:rtl w:val="0"/>
        </w:rPr>
        <w:t>kohta</w:t>
      </w:r>
      <w:r>
        <w:rPr>
          <w:rtl w:val="0"/>
        </w:rPr>
        <w:t xml:space="preserve"> </w:t>
      </w:r>
      <w:r>
        <w:rPr>
          <w:rtl w:val="0"/>
        </w:rPr>
        <w:t>”</w:t>
      </w:r>
      <w:r>
        <w:rPr>
          <w:rtl w:val="0"/>
        </w:rPr>
        <w:t>L</w:t>
      </w:r>
      <w:r>
        <w:rPr>
          <w:color w:val="000000"/>
          <w:u w:color="000000"/>
          <w:rtl w:val="0"/>
        </w:rPr>
        <w:t>ukiolaisten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10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Tulevat tapahtumat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Arkkitehtikillan ekskursio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Edellisten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kirjojen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 pienin muutoksin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Henna Savela on biotekniikan uusi yliopisto-opettaja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Nucleuksen ja Digitin KAVERI-gaalaan tehty video on valmis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TEKin hallituksen opiskelijaj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senhaku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 28.-30.10. Hervannassa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Nucleuksella ei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olla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llekk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tapahtumia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hallitussitsit 24.2.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Ilmoitetaan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lle,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ilmoittautuminen on kaikille avoinna nyt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Piita Koivisto saapui paikalle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Lopputy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arvostelua on kehitetty; numero- ja kirjainarvosanat vastaavat nyt paremmin toisiaan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Akateemisen Aurajokilaivuriyhdistys ry:n puolivuotissitseille 5.3.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Ainakin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ja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ovat kiinnostuneita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Inkubion 12. vuosijuhliin 5.3.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voi mahdollisesti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hte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TEK:in lehti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Nettisivuille 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ajankohtaisiin tapahtumiin 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tkokous ja vuotissitsit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edunvalvontasauna 3.2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Oli hyv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edustus Nucleuksen osalta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Edistyttiin Hybridi-yhteisty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huomattavasti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Koponeuvosto 23.2.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Lukuvuosipalaute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palautetta ainej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toiminnasta, esimerkiksi keskiviikkokokoelman hy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dyllisyydest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ja alkoholittoman toiminnan 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LuK-suunnitelupalaveri 9.2.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hinn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puhuttiin opintojen aikatauluttamisesta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Huhtikuun lopulla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vanhoille opiskelijoille infotilaisuus poistuvista ja muuttuvista kursseista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TkK-suunnittelupalveri 16.2.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ytiin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pi tutkinnon rakennetta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poistaa tutkinnon valinnaisuutta biotekniikan ja elintarvikekehityksen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Sivuainekursseihin on tulossa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valinnaisuutta valitun kokonaisuuden sis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Lukiolaisten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keksi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joku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nnitt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idea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Bioshock 27.1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Huomenna 17.2. haetaan rahatulot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Showroom ei antanut TYK ry:n edustajan seurata kassan laskemista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On toivottu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haalarimerkkej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ja laadukkaampaa ruokaa sitsien hintaan 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hden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Tapahtumien tallentaminen ja yhteenveto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Pyrit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tallentamaan kaikki tiedot menneist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tapahtumista Dropboxiin tulevia vuosia varten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Ulkopaikkakuntien 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vyyskiltojen hallitustapaaminen 19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-21.2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on lauantaina, paluu sunnuntaina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osuus m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kin hinnasta on 125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tkokous 8.3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salissa XX Agorassa klo 17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pient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tarjoilua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Tuodaan myyntiin nauhoja ja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senmerkkej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Tilinp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alkaa olemaan kunnossa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Vanhat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kirjat ovat kunnossa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kirjata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senmaksut jatkossa kalenterivuosittain eik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lukuvuosittain tilinp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ksen helpottamiseksi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ohjes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</w:rPr>
        <w:t>ö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tehd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suuria muutoksia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 12.3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1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kutsuista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Kirkkotie on nyt varattu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Alku-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ruoka tulevat Upseerikerholta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lkiruoka tehd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itse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Seremoniamestari ja laulunjohtaja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n, kun tiedet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ketk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ovat tulossa sitseille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Siirryt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jatkoille klo 23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Tarjoilijat ja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hint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puolet hallituksesta j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siivoamaan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Sillis TYY:n saunalla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hoitaa ruoat yms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Alkoholillisen hinnaksi tulee n. 30e ja alkoholittoman n. 25e, ei-j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5e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Merkkimyynti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tauoilla ja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juomalippuja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Ostetaan ilmapalloja ja muita koristeita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Sami Niemist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kuvaamaan, voidaan tarjota osallistumismaksusta puolet palkkioksi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Teekkarispeksi ja speksibileet</w:t>
      </w:r>
    </w:p>
    <w:p>
      <w:pPr>
        <w:pStyle w:val="Normal.0"/>
        <w:numPr>
          <w:ilvl w:val="2"/>
          <w:numId w:val="1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Digit ry:n kanssa majoituksen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Jos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Tivolilla, tulee maksamaan n. 500 euroa Nucleukselle</w:t>
      </w:r>
    </w:p>
    <w:p>
      <w:pPr>
        <w:pStyle w:val="Normal.0"/>
        <w:numPr>
          <w:ilvl w:val="4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Jos ei 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ydet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muita paikkoja, Teekkarispeksi voi avustaa hiukan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Etsit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muita majoituspaikkoja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Arkkitehtikillan ekskursio</w:t>
      </w:r>
    </w:p>
    <w:p>
      <w:pPr>
        <w:pStyle w:val="Normal.0"/>
        <w:numPr>
          <w:ilvl w:val="2"/>
          <w:numId w:val="1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Emme pysty majoittamaan, mutta Lex ry lupasi vuokrata Kirkkotien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Arkkitehtikilta haluaisi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beerpong-illan Nucleuksen kanssa, mutta pyysiv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50% maksua Kirkkotien vuokrasta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makseta mit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llaisesta tapahtumasta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</w:t>
      </w:r>
    </w:p>
    <w:p>
      <w:pPr>
        <w:pStyle w:val="Normal.0"/>
        <w:numPr>
          <w:ilvl w:val="2"/>
          <w:numId w:val="1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Bahamabileill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ei ole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rkev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tapahtumapaikkaa, joten koetetaan keksi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joku vaihtoehto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Universitas</w:t>
      </w:r>
    </w:p>
    <w:p>
      <w:pPr>
        <w:pStyle w:val="Normal.0"/>
        <w:numPr>
          <w:ilvl w:val="2"/>
          <w:numId w:val="1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ryhm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kokoontui 11.2.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Alustavasti 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syyskuussa viikot 37 ja 38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Rahaliikenne Nucleuksen eik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ryhm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kautta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uudet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Osallistuminen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kerhoon on ollut heikkoa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Turun linnassa ja osallistujia oli 10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File-sopimus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Digit ry ei suostunut maksamaan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toimittajien vuosijuhlia ja virkist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ytymiskohtaan haluttiin tarkennuksia, joten sopimuksen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 lykk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ntyy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hupparit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tunnuksilla varustettuja paitoja voitaisiin tilata painatusfirmasta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Hupparin hinta olisi n. 25-35 euroa riippuen laadusta ja painatuksen koosta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Voidaan harkita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college-paitoja hupparien sijaan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Yhdenvertaisuusvastaava ja toimihenkil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ohjes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</w:rPr>
        <w:t>ö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Esitet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yhdenvertaisuusvastaavan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liitett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sosiaalipoliittisen vastaavan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76,72 euroa vuoden 2015 hallituksen virkist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ytymisillasta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230,16 euroa Bioshockin tarjoiluista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1779,73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puheenjohtajat kokoontuivat ja suunnittelivat mm. tiedekunnan laajuista kastajaistapahtumaa, tuutoreiden kostajaistapahtumaa ja muita tulevia tapahtumia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viikolla on Hybridin tapahtumavastaavien tapaaminen, johon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on osallistumassa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1.3. Kiltahuoneella klo 17.00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20.33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16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2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2">
      <w:startOverride w:val="1"/>
    </w:lvlOverride>
  </w:num>
  <w:num w:numId="14">
    <w:abstractNumId w:val="0"/>
    <w:lvlOverride w:ilvl="2">
      <w:startOverride w:val="1"/>
    </w:lvlOverride>
  </w:num>
  <w:num w:numId="15">
    <w:abstractNumId w:val="0"/>
    <w:lvlOverride w:ilvl="2">
      <w:startOverride w:val="1"/>
    </w:lvlOverride>
  </w:num>
  <w:num w:numId="16">
    <w:abstractNumId w:val="0"/>
    <w:lvlOverride w:ilvl="2">
      <w:startOverride w:val="1"/>
    </w:lvlOverride>
  </w:num>
  <w:num w:numId="17">
    <w:abstractNumId w:val="0"/>
    <w:lvlOverride w:ilvl="2">
      <w:startOverride w:val="1"/>
    </w:lvlOverride>
  </w:num>
  <w:num w:numId="18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